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D922B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D922B8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D922B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D922B8">
        <w:rPr>
          <w:rFonts w:ascii="Times New Roman" w:eastAsia="Times New Roman" w:hAnsi="Times New Roman" w:cs="Times New Roman"/>
          <w:bCs/>
          <w:sz w:val="26"/>
          <w:szCs w:val="26"/>
        </w:rPr>
        <w:t>Строительному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D922B8"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D922B8">
        <w:rPr>
          <w:rFonts w:ascii="Times New Roman" w:eastAsia="Times New Roman" w:hAnsi="Times New Roman" w:cs="Times New Roman"/>
          <w:b/>
          <w:sz w:val="26"/>
          <w:szCs w:val="26"/>
        </w:rPr>
        <w:t>Кузнецова Михаила Евгеньевича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D922B8">
        <w:rPr>
          <w:rFonts w:ascii="Times New Roman" w:eastAsia="Times New Roman" w:hAnsi="Times New Roman" w:cs="Times New Roman"/>
          <w:b/>
          <w:sz w:val="26"/>
          <w:szCs w:val="26"/>
        </w:rPr>
        <w:t>Строительному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одномандатному избирательному округу №</w:t>
      </w:r>
      <w:r w:rsidR="00D922B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3E57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6BF8-DE6E-4862-899D-AEE1CBA4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2020-09-16T12:11:00Z</dcterms:created>
  <dcterms:modified xsi:type="dcterms:W3CDTF">2020-09-16T12:11:00Z</dcterms:modified>
</cp:coreProperties>
</file>